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30" w:rsidRDefault="00DC63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:rsidR="00DC63CA" w:rsidRDefault="00DC63CA" w:rsidP="00DC6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педагогического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МБОУВ(С)ОШ№1</w:t>
      </w:r>
    </w:p>
    <w:p w:rsidR="00DC63CA" w:rsidRDefault="00DC63CA" w:rsidP="00DC6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МБОУВ(С)ОШ№1                          __________ А.Е.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Чайларьянц</w:t>
      </w:r>
      <w:proofErr w:type="spellEnd"/>
    </w:p>
    <w:p w:rsidR="00DC63CA" w:rsidRDefault="00DC63CA" w:rsidP="00DC6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30.08.2022г. №1)                  Приказ от 30.08.2022г. № 63</w:t>
      </w:r>
    </w:p>
    <w:p w:rsidR="00DC63CA" w:rsidRDefault="00DC63CA">
      <w:pPr>
        <w:rPr>
          <w:rFonts w:ascii="Times New Roman" w:hAnsi="Times New Roman" w:cs="Times New Roman"/>
          <w:sz w:val="28"/>
          <w:szCs w:val="28"/>
        </w:rPr>
      </w:pPr>
    </w:p>
    <w:p w:rsidR="00DC63CA" w:rsidRDefault="00DC63CA" w:rsidP="00DC63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3CA" w:rsidRDefault="00DC63CA" w:rsidP="00DC63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C63CA" w:rsidRDefault="00DC63CA" w:rsidP="00DC63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средневзвешенной системе оценки качества обучения в муниципальном бюджетном общеобразовательном учреждении вечерней (сменной) общеобразовательной школы №1</w:t>
      </w:r>
    </w:p>
    <w:p w:rsidR="00DC63CA" w:rsidRDefault="00DC63CA" w:rsidP="00DC63CA">
      <w:pPr>
        <w:rPr>
          <w:rFonts w:ascii="Times New Roman" w:hAnsi="Times New Roman" w:cs="Times New Roman"/>
          <w:sz w:val="28"/>
          <w:szCs w:val="28"/>
        </w:rPr>
      </w:pPr>
    </w:p>
    <w:p w:rsidR="00DC63CA" w:rsidRPr="00F104EA" w:rsidRDefault="0023007C" w:rsidP="00F10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E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3007C" w:rsidRDefault="0023007C" w:rsidP="00F104EA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средневзвешенной оценке качества обучения в муниципальном бюджетном общеобразовательном учреждении вечерней (сменно) общеобразовательной школе №1</w:t>
      </w:r>
      <w:r w:rsidR="006C00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C00C1">
        <w:rPr>
          <w:rFonts w:ascii="Times New Roman" w:hAnsi="Times New Roman" w:cs="Times New Roman"/>
          <w:sz w:val="28"/>
          <w:szCs w:val="28"/>
        </w:rPr>
        <w:t>( далее</w:t>
      </w:r>
      <w:proofErr w:type="gramEnd"/>
      <w:r w:rsidR="006C00C1">
        <w:rPr>
          <w:rFonts w:ascii="Times New Roman" w:hAnsi="Times New Roman" w:cs="Times New Roman"/>
          <w:sz w:val="28"/>
          <w:szCs w:val="28"/>
        </w:rPr>
        <w:t>- МБОУВ(С)ОШ№1) разработано в соответствии с нормативными документами:</w:t>
      </w:r>
    </w:p>
    <w:p w:rsidR="006C00C1" w:rsidRDefault="006C00C1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Российской Федерации «Об образовании в Российской Федерации» от 29 декабря 2012 года №273-ФЗ;</w:t>
      </w:r>
    </w:p>
    <w:p w:rsidR="006C00C1" w:rsidRDefault="006C00C1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06 мая 2005 года №137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использования дистанционных образовательных технологий».</w:t>
      </w:r>
    </w:p>
    <w:p w:rsidR="006C00C1" w:rsidRDefault="006C00C1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Настоящее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положение  устанавливает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единые требования перевода средневзвешенной оценки, рассчитанного электронным журналом «Сетевой город. Образование» в пятибалльную отметку в МБОУВ(С)ОШ№1.</w:t>
      </w:r>
    </w:p>
    <w:p w:rsidR="006C00C1" w:rsidRDefault="006C00C1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Средневзвешенная система оценки знаний, умений и навыков учащихся 10-12 классов представляет собой интегральную оценку результатов всех </w:t>
      </w:r>
      <w:r w:rsidR="00003607">
        <w:rPr>
          <w:rFonts w:ascii="Times New Roman" w:hAnsi="Times New Roman" w:cs="Times New Roman"/>
          <w:sz w:val="28"/>
          <w:szCs w:val="28"/>
        </w:rPr>
        <w:t xml:space="preserve">видов </w:t>
      </w:r>
      <w:r w:rsidR="00E37973">
        <w:rPr>
          <w:rFonts w:ascii="Times New Roman" w:hAnsi="Times New Roman" w:cs="Times New Roman"/>
          <w:sz w:val="28"/>
          <w:szCs w:val="28"/>
        </w:rPr>
        <w:t>деятельности учеников при выставлении итоговой оценки.</w:t>
      </w:r>
    </w:p>
    <w:p w:rsidR="00E37973" w:rsidRDefault="00E37973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Средневзвешенная система оценки вводится в МБОУВ(С)ОШ№1 во всех классах и параллелях с целью стимулирования и активизации текущей учебы учащихся, повышения объективности оценки их знаний, умений.</w:t>
      </w:r>
    </w:p>
    <w:p w:rsidR="00E37973" w:rsidRDefault="00E37973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Средневзвешенная система оценки направлена на качественную подготовку учеников, глубокое усвоение ими изучаемого материала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  всестороннюю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оценку учебной деятельности учащихся в учебном году.</w:t>
      </w:r>
    </w:p>
    <w:p w:rsidR="00E37973" w:rsidRDefault="00E37973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Цель использования средневзвешенной системы оценки:</w:t>
      </w:r>
    </w:p>
    <w:p w:rsidR="00E37973" w:rsidRDefault="00E37973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стимулировать учебно-познавательную деятельность учащихся, осуществляя объективное оценивание различных видов работ;</w:t>
      </w:r>
    </w:p>
    <w:p w:rsidR="00E37973" w:rsidRDefault="00E37973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качество изучения и усвоения материала;</w:t>
      </w:r>
    </w:p>
    <w:p w:rsidR="00E37973" w:rsidRDefault="00E37973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мотивировать ученика к системной работе в процессе получения знаний и усвоения учебного материала на протяжении всего учебного года</w:t>
      </w:r>
      <w:r w:rsidR="000A5FDF">
        <w:rPr>
          <w:rFonts w:ascii="Times New Roman" w:hAnsi="Times New Roman" w:cs="Times New Roman"/>
          <w:sz w:val="28"/>
          <w:szCs w:val="28"/>
        </w:rPr>
        <w:t>;</w:t>
      </w:r>
    </w:p>
    <w:p w:rsidR="000A5FDF" w:rsidRDefault="000A5FDF" w:rsidP="00F104E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повысить объективность итоговой оценки, усилив ее зависимость результатов ежедневной работы на протяжении всего учебного года.</w:t>
      </w:r>
    </w:p>
    <w:p w:rsidR="000A5FDF" w:rsidRPr="00F104EA" w:rsidRDefault="000A5FDF" w:rsidP="00F104E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159A" w:rsidRPr="00F104EA" w:rsidRDefault="000A5FDF" w:rsidP="00F104E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4EA">
        <w:rPr>
          <w:rFonts w:ascii="Times New Roman" w:hAnsi="Times New Roman" w:cs="Times New Roman"/>
          <w:b/>
          <w:sz w:val="28"/>
          <w:szCs w:val="28"/>
        </w:rPr>
        <w:t xml:space="preserve">Организация работы по средневзвешенной системе </w:t>
      </w:r>
      <w:r w:rsidR="00CB159A" w:rsidRPr="00F104EA">
        <w:rPr>
          <w:rFonts w:ascii="Times New Roman" w:hAnsi="Times New Roman" w:cs="Times New Roman"/>
          <w:b/>
          <w:sz w:val="28"/>
          <w:szCs w:val="28"/>
        </w:rPr>
        <w:t>оценки знаний, умений и навыков.</w:t>
      </w:r>
    </w:p>
    <w:p w:rsidR="00CB159A" w:rsidRDefault="00CB159A" w:rsidP="00F104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Средневзвешенная система оценки включает учет и подсчет балов, полученных на протяжении всего учебного года, за различные виды учебной работы (диагностические работы, контрольные работы, самостоятельные работы, тесты, проекты, домашние задания, зачеты (Приложение1,2).</w:t>
      </w:r>
    </w:p>
    <w:p w:rsidR="00CB159A" w:rsidRDefault="00DD1C2B" w:rsidP="00F104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контроля знаний и их количество определяются методическими объединениями исходя из объема и содержания каждой учебной дисциплины, фиксируются в соответствующей учебной программе и доводятся до сведения учеников и родителей несовершеннолетних через «Сетевой город. Образование», родительские, ученические собрания и классные часы.</w:t>
      </w:r>
    </w:p>
    <w:p w:rsidR="00DD1C2B" w:rsidRDefault="00DD1C2B" w:rsidP="00F104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Текущая оценка знаний учитывается при определении итоговой оценки (Приложение 3). Удельный вес отдельных видов текущего контроля устанавливается методическими объединениями с учетом специфики предмета. Принятые нормативы требуют неукоснительного их соблюдения</w:t>
      </w:r>
      <w:r w:rsidR="00727E02">
        <w:rPr>
          <w:rFonts w:ascii="Times New Roman" w:hAnsi="Times New Roman" w:cs="Times New Roman"/>
          <w:sz w:val="28"/>
          <w:szCs w:val="28"/>
        </w:rPr>
        <w:t xml:space="preserve"> преподавателями методического объединения.</w:t>
      </w:r>
    </w:p>
    <w:p w:rsidR="00727E02" w:rsidRDefault="00727E02" w:rsidP="00F104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обязательных свойств средневзвешенной системы оценки является ее открытость-ученики должны знать «правила игры»: «стоимость» любой деятельности, знать, как можно получить максимальные баллы, за что они могут их потерять и 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 выполнения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этого </w:t>
      </w:r>
      <w:r w:rsidR="00B07EA4">
        <w:rPr>
          <w:rFonts w:ascii="Times New Roman" w:hAnsi="Times New Roman" w:cs="Times New Roman"/>
          <w:sz w:val="28"/>
          <w:szCs w:val="28"/>
        </w:rPr>
        <w:t xml:space="preserve"> свойства «таблица стоимости» должна быть доступна ученикам и родителям несовершеннолетних (законным представителям), они могут в любое время ознакомится с правилами средневзвешенной системы оценки.</w:t>
      </w:r>
    </w:p>
    <w:p w:rsidR="00B07EA4" w:rsidRDefault="00B07EA4" w:rsidP="00F104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контрольным работам, зачетам присваивается «вес» 50 баллов. Количество работ, имеющих «вес» 50 баллов, не должно превышать четырех в год.</w:t>
      </w:r>
    </w:p>
    <w:p w:rsidR="00B07EA4" w:rsidRDefault="00B07EA4" w:rsidP="00F104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контрольная работа проводится за учебный год, в виде зачета в форме письменной контрольной работы или теста, практические или лабораторные работы, проект. Цель итоговой контрольной работы - определить полноту и качество усвоения каждым учащимся всего пройденного материала, предусмотренного по каждому учебному предмету.</w:t>
      </w:r>
    </w:p>
    <w:p w:rsidR="0023007C" w:rsidRDefault="00B07EA4" w:rsidP="00F104E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4EA">
        <w:rPr>
          <w:rFonts w:ascii="Times New Roman" w:hAnsi="Times New Roman" w:cs="Times New Roman"/>
          <w:sz w:val="28"/>
          <w:szCs w:val="28"/>
        </w:rPr>
        <w:lastRenderedPageBreak/>
        <w:t>Административные контрольные работы для обучающихся проводит администрация МБОУВ(С)ОШ№1</w:t>
      </w:r>
      <w:r w:rsidR="00F104EA" w:rsidRPr="00F104EA">
        <w:rPr>
          <w:rFonts w:ascii="Times New Roman" w:hAnsi="Times New Roman" w:cs="Times New Roman"/>
          <w:sz w:val="28"/>
          <w:szCs w:val="28"/>
        </w:rPr>
        <w:t xml:space="preserve"> в рамках </w:t>
      </w:r>
      <w:proofErr w:type="spellStart"/>
      <w:r w:rsidR="00F104EA" w:rsidRPr="00F104EA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="00F104EA" w:rsidRPr="00F104EA">
        <w:rPr>
          <w:rFonts w:ascii="Times New Roman" w:hAnsi="Times New Roman" w:cs="Times New Roman"/>
          <w:sz w:val="28"/>
          <w:szCs w:val="28"/>
        </w:rPr>
        <w:t xml:space="preserve"> контроля с целью педагогического анализа результатов труда учителей- предметников и состояния образовательного процесса. Задания для административной контрольной работы разрабатываются руководителями </w:t>
      </w:r>
      <w:proofErr w:type="gramStart"/>
      <w:r w:rsidR="00F104EA" w:rsidRPr="00F104EA">
        <w:rPr>
          <w:rFonts w:ascii="Times New Roman" w:hAnsi="Times New Roman" w:cs="Times New Roman"/>
          <w:sz w:val="28"/>
          <w:szCs w:val="28"/>
        </w:rPr>
        <w:t>методических  объединений</w:t>
      </w:r>
      <w:proofErr w:type="gramEnd"/>
      <w:r w:rsidR="00F104EA" w:rsidRPr="00F104EA">
        <w:rPr>
          <w:rFonts w:ascii="Times New Roman" w:hAnsi="Times New Roman" w:cs="Times New Roman"/>
          <w:sz w:val="28"/>
          <w:szCs w:val="28"/>
        </w:rPr>
        <w:t xml:space="preserve"> учителей предметников, согласовываются с директором школы  в зависимости от темы и цели проверки.</w:t>
      </w:r>
    </w:p>
    <w:p w:rsidR="00F104EA" w:rsidRDefault="00F104EA" w:rsidP="00F104E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104EA" w:rsidRPr="00F104EA" w:rsidRDefault="00F104EA" w:rsidP="00F104E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04EA">
        <w:rPr>
          <w:rFonts w:ascii="Times New Roman" w:hAnsi="Times New Roman" w:cs="Times New Roman"/>
          <w:b/>
          <w:sz w:val="28"/>
          <w:szCs w:val="28"/>
        </w:rPr>
        <w:t>3.Заключительные положения.</w:t>
      </w:r>
    </w:p>
    <w:p w:rsidR="00F104EA" w:rsidRDefault="00F104EA" w:rsidP="00F10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3.1. Данное положение является обязательным для исполнения всеми педагогическими работниками МБОУВ(С)ОШ№1 с момента его утверждения в установленном порядке.</w:t>
      </w:r>
    </w:p>
    <w:p w:rsidR="00F104EA" w:rsidRPr="00F104EA" w:rsidRDefault="00F104EA" w:rsidP="00F10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3.2. Настоящее положение действует до момента разработки и принятия нового нормативного локального акта, регламентирующего требования к выставлению текущих и итоговых оценок.</w:t>
      </w:r>
    </w:p>
    <w:p w:rsidR="0023007C" w:rsidRPr="0023007C" w:rsidRDefault="0023007C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007C" w:rsidRPr="0023007C" w:rsidRDefault="0023007C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CA" w:rsidRDefault="00DC63CA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63CA" w:rsidRDefault="00DC63CA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Приложение 1</w:t>
      </w:r>
    </w:p>
    <w:p w:rsidR="00780C89" w:rsidRDefault="00780C89" w:rsidP="00F104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0C89" w:rsidRDefault="00780C89" w:rsidP="00E35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</w:t>
      </w:r>
      <w:r w:rsidRPr="00780C89">
        <w:rPr>
          <w:rFonts w:ascii="Times New Roman" w:hAnsi="Times New Roman" w:cs="Times New Roman"/>
          <w:b/>
          <w:sz w:val="28"/>
          <w:szCs w:val="28"/>
        </w:rPr>
        <w:t xml:space="preserve"> подсчета средневзвешенной оценки</w:t>
      </w:r>
    </w:p>
    <w:p w:rsidR="00780C89" w:rsidRDefault="00E35EEE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80C89">
        <w:rPr>
          <w:rFonts w:ascii="Times New Roman" w:hAnsi="Times New Roman" w:cs="Times New Roman"/>
          <w:sz w:val="28"/>
          <w:szCs w:val="28"/>
        </w:rPr>
        <w:t xml:space="preserve">Сетевой город. Образование» дает возможность подсчитывать не только </w:t>
      </w:r>
      <w:r w:rsidR="00C36EB3">
        <w:rPr>
          <w:rFonts w:ascii="Times New Roman" w:hAnsi="Times New Roman" w:cs="Times New Roman"/>
          <w:sz w:val="28"/>
          <w:szCs w:val="28"/>
        </w:rPr>
        <w:t>среднее арифметическое значение текущих оценок. Каждое задание может иметь собственный вес (контрольная, самостоятельная работа, ответ на у</w:t>
      </w:r>
      <w:r>
        <w:rPr>
          <w:rFonts w:ascii="Times New Roman" w:hAnsi="Times New Roman" w:cs="Times New Roman"/>
          <w:sz w:val="28"/>
          <w:szCs w:val="28"/>
        </w:rPr>
        <w:t>роке, проверка тетрадей, зачет,</w:t>
      </w:r>
      <w:r w:rsidR="00C36EB3">
        <w:rPr>
          <w:rFonts w:ascii="Times New Roman" w:hAnsi="Times New Roman" w:cs="Times New Roman"/>
          <w:sz w:val="28"/>
          <w:szCs w:val="28"/>
        </w:rPr>
        <w:t xml:space="preserve"> имеет разный «вес»), что позволяет рассчитывать средневзвешенную оценку и тем самым более объективно оценивать успеваемость учащихся.</w:t>
      </w:r>
    </w:p>
    <w:p w:rsidR="00C36EB3" w:rsidRPr="00C36EB3" w:rsidRDefault="00C36EB3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задать веса для заданий</w:t>
      </w:r>
      <w:r w:rsidRPr="00C36EB3">
        <w:rPr>
          <w:rFonts w:ascii="Times New Roman" w:hAnsi="Times New Roman" w:cs="Times New Roman"/>
          <w:sz w:val="28"/>
          <w:szCs w:val="28"/>
        </w:rPr>
        <w:t>?</w:t>
      </w:r>
    </w:p>
    <w:p w:rsidR="00C36EB3" w:rsidRDefault="00C36EB3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 значения веса – от 0 до 100. Значение 0 означает, что соответствующий столбец классного журнала не должен учитываться при расчёте средневзвешенной оценки. По умолчанию для всех заданий задается одинаковый вес.</w:t>
      </w:r>
    </w:p>
    <w:p w:rsidR="00C36EB3" w:rsidRPr="00D97DF6" w:rsidRDefault="00C36EB3" w:rsidP="00660D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DF6">
        <w:rPr>
          <w:rFonts w:ascii="Times New Roman" w:hAnsi="Times New Roman" w:cs="Times New Roman"/>
          <w:b/>
          <w:sz w:val="28"/>
          <w:szCs w:val="28"/>
        </w:rPr>
        <w:t>Формула подсчета средневзвешенной оценки:</w:t>
      </w:r>
    </w:p>
    <w:p w:rsidR="00C36EB3" w:rsidRDefault="00C36EB3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Средневзвешенное = (Сумма пр</w:t>
      </w:r>
      <w:r w:rsidR="00E35EEE">
        <w:rPr>
          <w:rFonts w:ascii="Times New Roman" w:hAnsi="Times New Roman" w:cs="Times New Roman"/>
          <w:sz w:val="28"/>
          <w:szCs w:val="28"/>
        </w:rPr>
        <w:t>оизведений оценок на их веса)</w:t>
      </w:r>
      <w:proofErr w:type="gramStart"/>
      <w:r w:rsidR="00E35EEE">
        <w:rPr>
          <w:rFonts w:ascii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hAnsi="Times New Roman" w:cs="Times New Roman"/>
          <w:sz w:val="28"/>
          <w:szCs w:val="28"/>
        </w:rPr>
        <w:t>Сумма этих оценок)</w:t>
      </w:r>
    </w:p>
    <w:p w:rsidR="00C36EB3" w:rsidRDefault="00C36EB3" w:rsidP="00660D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7DF6">
        <w:rPr>
          <w:rFonts w:ascii="Times New Roman" w:hAnsi="Times New Roman" w:cs="Times New Roman"/>
          <w:b/>
          <w:sz w:val="28"/>
          <w:szCs w:val="28"/>
        </w:rPr>
        <w:t>Особенности подсчета:</w:t>
      </w:r>
    </w:p>
    <w:p w:rsidR="00D97DF6" w:rsidRDefault="00D97DF6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«Задолженность» ученика (невыполненные задания с обязательной оценкой срок выполнения которых истек) учитываются как минимальные оценки равные при подсчете средневзвешенного приравниваются к «двойкам». Пропуски (</w:t>
      </w:r>
      <w:r w:rsidR="00E35EEE">
        <w:rPr>
          <w:rFonts w:ascii="Times New Roman" w:hAnsi="Times New Roman" w:cs="Times New Roman"/>
          <w:sz w:val="28"/>
          <w:szCs w:val="28"/>
        </w:rPr>
        <w:t>посещаемость) никак не учитывается при подсчете средневзвешенной оценки. На результат «взвешивания» влияют только оценки в журнале).</w:t>
      </w:r>
    </w:p>
    <w:p w:rsidR="00E35EEE" w:rsidRPr="00E35EEE" w:rsidRDefault="00E35EEE" w:rsidP="00660D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EEE">
        <w:rPr>
          <w:rFonts w:ascii="Times New Roman" w:hAnsi="Times New Roman" w:cs="Times New Roman"/>
          <w:b/>
          <w:sz w:val="28"/>
          <w:szCs w:val="28"/>
        </w:rPr>
        <w:t>Пример подсчета средневзвешенной оценки:</w:t>
      </w:r>
    </w:p>
    <w:p w:rsidR="00E35EEE" w:rsidRDefault="00E35EEE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 течение года было 2 контрольные работы (вес каждой -40), самостоятельных работ (вес-30), одна практическая работа (вес-25) и три проверка тетрадей (вес-10).</w:t>
      </w:r>
    </w:p>
    <w:p w:rsidR="00E35EEE" w:rsidRDefault="00E35EEE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 получил за первую контрольную «3», на второй отсутствовал без уважительной причины, одну самостоятельную писал</w:t>
      </w:r>
      <w:r w:rsidR="00C70581">
        <w:rPr>
          <w:rFonts w:ascii="Times New Roman" w:hAnsi="Times New Roman" w:cs="Times New Roman"/>
          <w:sz w:val="28"/>
          <w:szCs w:val="28"/>
        </w:rPr>
        <w:t xml:space="preserve"> сам (2 балла), вторую списал (4 балла), третью проболел. За проверку тетрадей – две оценки «5» и одна «4». Практическую работу написал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581">
        <w:rPr>
          <w:rFonts w:ascii="Times New Roman" w:hAnsi="Times New Roman" w:cs="Times New Roman"/>
          <w:sz w:val="28"/>
          <w:szCs w:val="28"/>
        </w:rPr>
        <w:t>на «4».</w:t>
      </w:r>
    </w:p>
    <w:p w:rsidR="00C70581" w:rsidRDefault="00C70581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выписать оценки в ряд, получим:3 2 4 5 5 4 4. По среднему баллу ученик претендует на твердую «4» (хорошо). Однако, если использовать веса оценок, то получим:</w:t>
      </w:r>
    </w:p>
    <w:p w:rsidR="00C70581" w:rsidRDefault="00C70581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3х40+2х40+2х30+4х30+2х30+5х10+5х10+4х10+4х25=680 баллов.</w:t>
      </w:r>
    </w:p>
    <w:p w:rsidR="00C70581" w:rsidRDefault="00C70581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Здесь:</w:t>
      </w:r>
    </w:p>
    <w:p w:rsidR="00C70581" w:rsidRDefault="00C70581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первое слагаемое 3х40- первая контрольная, второе слагаемое 2х40- вторая контрольная, которую он пропустил, 3-е, 4-е, 5-е слагаемые с весом 30- </w:t>
      </w:r>
      <w:r>
        <w:rPr>
          <w:rFonts w:ascii="Times New Roman" w:hAnsi="Times New Roman" w:cs="Times New Roman"/>
          <w:sz w:val="28"/>
          <w:szCs w:val="28"/>
        </w:rPr>
        <w:lastRenderedPageBreak/>
        <w:t>это самостоятельные работы, 6-е, 7-е, 8-е слагаемые с весом 10-проверки тетрадей, последнее слагаемое 4х25- практическая работа.</w:t>
      </w: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Совокупный вес оценок (внимание: включая обязательные оценки, а не только полученные учеником):</w:t>
      </w: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2х40+3х30+25+3х10=225. Здесь:</w:t>
      </w: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2х40-получено 2 оценки с весом 40;</w:t>
      </w: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3х30-получено 3 оценки с весом 30;</w:t>
      </w: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25- получена одна оценка с весом 25 (1х25);</w:t>
      </w:r>
    </w:p>
    <w:p w:rsidR="00A973D9" w:rsidRDefault="00660DC3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3х10- получено 3 оценки с весом 10.</w:t>
      </w:r>
    </w:p>
    <w:p w:rsidR="00660DC3" w:rsidRDefault="00660DC3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Итоговая оценка ученика будет равняться 680/225=3,022.</w:t>
      </w:r>
    </w:p>
    <w:p w:rsidR="00660DC3" w:rsidRDefault="00660DC3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Очевидно, средневзвешенная оценка дает более точный уровень успеваемости.</w:t>
      </w: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73D9" w:rsidRDefault="00A973D9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581" w:rsidRDefault="00C70581" w:rsidP="00660D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5EEE" w:rsidRPr="00D97DF6" w:rsidRDefault="00E35EEE" w:rsidP="00E35E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C36EB3" w:rsidRDefault="00C36EB3" w:rsidP="0078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</w:p>
    <w:p w:rsidR="00660DC3" w:rsidRDefault="00660DC3" w:rsidP="00780C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 2</w:t>
      </w:r>
    </w:p>
    <w:p w:rsidR="00F34BEF" w:rsidRPr="00F34BEF" w:rsidRDefault="00F34BEF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BEF">
        <w:rPr>
          <w:rFonts w:ascii="Times New Roman" w:hAnsi="Times New Roman" w:cs="Times New Roman"/>
          <w:b/>
          <w:sz w:val="28"/>
          <w:szCs w:val="28"/>
        </w:rPr>
        <w:t>Средневзвешенная система оценки знаний при использовании электронной системы учета успеваемости</w:t>
      </w:r>
    </w:p>
    <w:p w:rsidR="00F34BEF" w:rsidRDefault="00F34BEF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34BEF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Сетевой Город. Образование</w:t>
      </w:r>
      <w:r w:rsidRPr="00F34BE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4BEF" w:rsidRDefault="00F34BEF" w:rsidP="00F34BE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594"/>
        <w:gridCol w:w="1108"/>
        <w:gridCol w:w="2551"/>
        <w:gridCol w:w="4678"/>
        <w:gridCol w:w="1128"/>
      </w:tblGrid>
      <w:tr w:rsidR="00F34BEF" w:rsidTr="00F34BEF">
        <w:tc>
          <w:tcPr>
            <w:tcW w:w="594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08" w:type="dxa"/>
          </w:tcPr>
          <w:p w:rsidR="00F34BEF" w:rsidRDefault="00F34BEF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Обозна</w:t>
            </w:r>
            <w:proofErr w:type="spellEnd"/>
          </w:p>
          <w:p w:rsidR="00F34BEF" w:rsidRDefault="00F34BEF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чение</w:t>
            </w:r>
            <w:proofErr w:type="spellEnd"/>
          </w:p>
        </w:tc>
        <w:tc>
          <w:tcPr>
            <w:tcW w:w="2551" w:type="dxa"/>
          </w:tcPr>
          <w:p w:rsidR="00F34BEF" w:rsidRDefault="00F34BEF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  <w:tc>
          <w:tcPr>
            <w:tcW w:w="4678" w:type="dxa"/>
          </w:tcPr>
          <w:p w:rsidR="00F34BEF" w:rsidRDefault="00F34BEF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(выбор в системе)</w:t>
            </w:r>
          </w:p>
        </w:tc>
        <w:tc>
          <w:tcPr>
            <w:tcW w:w="1128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 оценки в баллах </w:t>
            </w:r>
          </w:p>
        </w:tc>
      </w:tr>
      <w:tr w:rsidR="00F34BEF" w:rsidTr="00F34BEF">
        <w:tc>
          <w:tcPr>
            <w:tcW w:w="594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08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2551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Домашняя работа</w:t>
            </w:r>
          </w:p>
        </w:tc>
        <w:tc>
          <w:tcPr>
            <w:tcW w:w="4678" w:type="dxa"/>
          </w:tcPr>
          <w:p w:rsidR="00F34BEF" w:rsidRDefault="00F34BEF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Письменная, конспект, ведение тетради</w:t>
            </w:r>
          </w:p>
        </w:tc>
        <w:tc>
          <w:tcPr>
            <w:tcW w:w="1128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4BEF" w:rsidTr="00F34BEF">
        <w:tc>
          <w:tcPr>
            <w:tcW w:w="594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08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51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4678" w:type="dxa"/>
          </w:tcPr>
          <w:p w:rsidR="00F34BEF" w:rsidRDefault="00F34BEF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Графическая работа</w:t>
            </w:r>
          </w:p>
        </w:tc>
        <w:tc>
          <w:tcPr>
            <w:tcW w:w="1128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34BEF" w:rsidTr="00F34BEF">
        <w:tc>
          <w:tcPr>
            <w:tcW w:w="594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08" w:type="dxa"/>
          </w:tcPr>
          <w:p w:rsidR="00F34BEF" w:rsidRDefault="00F34BEF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2551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уроке</w:t>
            </w:r>
          </w:p>
        </w:tc>
        <w:tc>
          <w:tcPr>
            <w:tcW w:w="4678" w:type="dxa"/>
          </w:tcPr>
          <w:p w:rsidR="00F34BEF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Устное домашнее задание, ответ на уроке, чтение наизусть, работа на уроке, работа по карточке</w:t>
            </w:r>
          </w:p>
        </w:tc>
        <w:tc>
          <w:tcPr>
            <w:tcW w:w="112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34BEF" w:rsidTr="00F34BEF">
        <w:tc>
          <w:tcPr>
            <w:tcW w:w="594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10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2551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4678" w:type="dxa"/>
          </w:tcPr>
          <w:p w:rsidR="00F34BEF" w:rsidRDefault="00F34BEF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4BEF" w:rsidTr="00F34BEF">
        <w:tc>
          <w:tcPr>
            <w:tcW w:w="594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0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551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</w:t>
            </w:r>
          </w:p>
        </w:tc>
        <w:tc>
          <w:tcPr>
            <w:tcW w:w="4678" w:type="dxa"/>
          </w:tcPr>
          <w:p w:rsidR="00F34BEF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Реферат, доклад</w:t>
            </w:r>
          </w:p>
        </w:tc>
        <w:tc>
          <w:tcPr>
            <w:tcW w:w="112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4BEF" w:rsidTr="00F34BEF">
        <w:tc>
          <w:tcPr>
            <w:tcW w:w="594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10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2551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4678" w:type="dxa"/>
          </w:tcPr>
          <w:p w:rsidR="00F34BEF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Тест, компьютерное тестирование, проверочная работа (грамматическое задание, письмо по памяти)</w:t>
            </w:r>
          </w:p>
        </w:tc>
        <w:tc>
          <w:tcPr>
            <w:tcW w:w="112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F34BEF" w:rsidTr="00F34BEF">
        <w:tc>
          <w:tcPr>
            <w:tcW w:w="594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10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2551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</w:tc>
        <w:tc>
          <w:tcPr>
            <w:tcW w:w="4678" w:type="dxa"/>
          </w:tcPr>
          <w:p w:rsidR="00F34BEF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( словарный, математический, терминологический)</w:t>
            </w:r>
          </w:p>
        </w:tc>
        <w:tc>
          <w:tcPr>
            <w:tcW w:w="1128" w:type="dxa"/>
          </w:tcPr>
          <w:p w:rsidR="00F34BEF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7934" w:rsidTr="00F34BEF">
        <w:tc>
          <w:tcPr>
            <w:tcW w:w="594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10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51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4678" w:type="dxa"/>
          </w:tcPr>
          <w:p w:rsidR="00CB7934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работа, обучающая практическая работа, эксперимент с выводом, моделирование.</w:t>
            </w:r>
          </w:p>
        </w:tc>
        <w:tc>
          <w:tcPr>
            <w:tcW w:w="112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B7934" w:rsidTr="00F34BEF">
        <w:tc>
          <w:tcPr>
            <w:tcW w:w="594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10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51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678" w:type="dxa"/>
          </w:tcPr>
          <w:p w:rsidR="00CB7934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работа, составление схем, таблиц, списывание, орфографическая работа</w:t>
            </w:r>
          </w:p>
        </w:tc>
        <w:tc>
          <w:tcPr>
            <w:tcW w:w="112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7934" w:rsidTr="00F34BEF">
        <w:tc>
          <w:tcPr>
            <w:tcW w:w="594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10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51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</w:t>
            </w:r>
          </w:p>
        </w:tc>
        <w:tc>
          <w:tcPr>
            <w:tcW w:w="4678" w:type="dxa"/>
          </w:tcPr>
          <w:p w:rsidR="00CB7934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Изложение, контрольное изложение, письмо личного характера</w:t>
            </w:r>
          </w:p>
        </w:tc>
        <w:tc>
          <w:tcPr>
            <w:tcW w:w="112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B7934" w:rsidTr="00F34BEF">
        <w:tc>
          <w:tcPr>
            <w:tcW w:w="594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10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551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4678" w:type="dxa"/>
          </w:tcPr>
          <w:p w:rsidR="00CB7934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работа, контрольный диктант, контрольный диктант с грамматическим заданием,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говорение, контрольное списывание.</w:t>
            </w:r>
          </w:p>
        </w:tc>
        <w:tc>
          <w:tcPr>
            <w:tcW w:w="112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7934" w:rsidTr="00F34BEF">
        <w:tc>
          <w:tcPr>
            <w:tcW w:w="594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108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551" w:type="dxa"/>
          </w:tcPr>
          <w:p w:rsidR="00CB7934" w:rsidRDefault="00CB793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4678" w:type="dxa"/>
          </w:tcPr>
          <w:p w:rsidR="00CB7934" w:rsidRDefault="00CB793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Проект, исследовательская работа</w:t>
            </w:r>
          </w:p>
        </w:tc>
        <w:tc>
          <w:tcPr>
            <w:tcW w:w="1128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7934" w:rsidTr="00F34BEF">
        <w:tc>
          <w:tcPr>
            <w:tcW w:w="594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1108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2551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</w:p>
        </w:tc>
        <w:tc>
          <w:tcPr>
            <w:tcW w:w="4678" w:type="dxa"/>
          </w:tcPr>
          <w:p w:rsidR="00CB7934" w:rsidRDefault="000C6FA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Сочинение, контрольное сочинение, домашнее сочинение, (русский язык, литература) эссе</w:t>
            </w:r>
          </w:p>
        </w:tc>
        <w:tc>
          <w:tcPr>
            <w:tcW w:w="1128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B7934" w:rsidTr="00F34BEF">
        <w:tc>
          <w:tcPr>
            <w:tcW w:w="594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108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551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  <w:tc>
          <w:tcPr>
            <w:tcW w:w="4678" w:type="dxa"/>
          </w:tcPr>
          <w:p w:rsidR="00CB7934" w:rsidRDefault="000C6FA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зачетная практическая работа</w:t>
            </w:r>
          </w:p>
        </w:tc>
        <w:tc>
          <w:tcPr>
            <w:tcW w:w="1128" w:type="dxa"/>
          </w:tcPr>
          <w:p w:rsidR="00CB793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C6FA4" w:rsidTr="00F34BEF">
        <w:tc>
          <w:tcPr>
            <w:tcW w:w="594" w:type="dxa"/>
          </w:tcPr>
          <w:p w:rsidR="000C6FA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108" w:type="dxa"/>
          </w:tcPr>
          <w:p w:rsidR="000C6FA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51" w:type="dxa"/>
          </w:tcPr>
          <w:p w:rsidR="000C6FA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Срезовая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4678" w:type="dxa"/>
          </w:tcPr>
          <w:p w:rsidR="000C6FA4" w:rsidRDefault="000C6FA4" w:rsidP="001C1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Диагностическая контрольная  работа, тренировочная работа, ВПР, административная контрольная работа (оценочная процедура школьного уровня);итоговая годовая контрольная работа; итоговый контрольный диктант, итоговое тестирование, комплексная работа.</w:t>
            </w:r>
          </w:p>
        </w:tc>
        <w:tc>
          <w:tcPr>
            <w:tcW w:w="1128" w:type="dxa"/>
          </w:tcPr>
          <w:p w:rsidR="000C6FA4" w:rsidRDefault="000C6FA4" w:rsidP="00F34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F34BEF" w:rsidRPr="00F34BEF" w:rsidRDefault="00F34BEF" w:rsidP="00F34BEF">
      <w:pPr>
        <w:rPr>
          <w:rFonts w:ascii="Times New Roman" w:hAnsi="Times New Roman" w:cs="Times New Roman"/>
          <w:sz w:val="28"/>
          <w:szCs w:val="28"/>
        </w:rPr>
      </w:pPr>
    </w:p>
    <w:p w:rsidR="00F34BEF" w:rsidRDefault="00F34BEF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6FA4" w:rsidRDefault="000C6FA4" w:rsidP="00F34B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Pr="000C6FA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C6FA4" w:rsidRDefault="000C6FA4" w:rsidP="000C6FA4">
      <w:pPr>
        <w:rPr>
          <w:rFonts w:ascii="Times New Roman" w:hAnsi="Times New Roman" w:cs="Times New Roman"/>
          <w:sz w:val="28"/>
          <w:szCs w:val="28"/>
        </w:rPr>
      </w:pPr>
    </w:p>
    <w:p w:rsidR="000C6FA4" w:rsidRPr="000C6FA4" w:rsidRDefault="000C6FA4" w:rsidP="000C6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6FA4">
        <w:rPr>
          <w:rFonts w:ascii="Times New Roman" w:hAnsi="Times New Roman" w:cs="Times New Roman"/>
          <w:b/>
          <w:sz w:val="28"/>
          <w:szCs w:val="28"/>
        </w:rPr>
        <w:t>Выставление итоговых оценок</w:t>
      </w:r>
    </w:p>
    <w:p w:rsidR="000C6FA4" w:rsidRDefault="000C6FA4" w:rsidP="000C6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оценку осуществляется по следующей шкале:</w:t>
      </w:r>
    </w:p>
    <w:p w:rsidR="000C6FA4" w:rsidRDefault="000C6FA4" w:rsidP="000C6FA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C6FA4" w:rsidTr="000C6FA4">
        <w:tc>
          <w:tcPr>
            <w:tcW w:w="4672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673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 журнале</w:t>
            </w:r>
          </w:p>
        </w:tc>
      </w:tr>
      <w:tr w:rsidR="000C6FA4" w:rsidTr="000C6FA4">
        <w:tc>
          <w:tcPr>
            <w:tcW w:w="4672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2-2,49</w:t>
            </w:r>
          </w:p>
        </w:tc>
        <w:tc>
          <w:tcPr>
            <w:tcW w:w="4673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  <w:tr w:rsidR="000C6FA4" w:rsidTr="000C6FA4">
        <w:tc>
          <w:tcPr>
            <w:tcW w:w="4672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2,5-3,49</w:t>
            </w:r>
          </w:p>
        </w:tc>
        <w:tc>
          <w:tcPr>
            <w:tcW w:w="4673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0C6FA4" w:rsidTr="000C6FA4">
        <w:tc>
          <w:tcPr>
            <w:tcW w:w="4672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3,5- 4,49</w:t>
            </w:r>
          </w:p>
        </w:tc>
        <w:tc>
          <w:tcPr>
            <w:tcW w:w="4673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0C6FA4" w:rsidTr="000C6FA4">
        <w:tc>
          <w:tcPr>
            <w:tcW w:w="4672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4,5-5</w:t>
            </w:r>
          </w:p>
        </w:tc>
        <w:tc>
          <w:tcPr>
            <w:tcW w:w="4673" w:type="dxa"/>
          </w:tcPr>
          <w:p w:rsidR="000C6FA4" w:rsidRDefault="001C1514" w:rsidP="001C1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</w:tr>
    </w:tbl>
    <w:p w:rsidR="000C6FA4" w:rsidRDefault="000C6FA4" w:rsidP="000C6F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6FA4" w:rsidRPr="000C6FA4" w:rsidRDefault="000C6FA4" w:rsidP="000C6FA4">
      <w:pPr>
        <w:rPr>
          <w:rFonts w:ascii="Times New Roman" w:hAnsi="Times New Roman" w:cs="Times New Roman"/>
          <w:sz w:val="28"/>
          <w:szCs w:val="28"/>
        </w:rPr>
      </w:pPr>
    </w:p>
    <w:p w:rsidR="000C6FA4" w:rsidRPr="00F34BEF" w:rsidRDefault="000C6FA4" w:rsidP="00F34B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C6FA4" w:rsidRPr="00F34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13ABE"/>
    <w:multiLevelType w:val="multilevel"/>
    <w:tmpl w:val="9184D7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31"/>
    <w:rsid w:val="00003607"/>
    <w:rsid w:val="000A5FDF"/>
    <w:rsid w:val="000C6FA4"/>
    <w:rsid w:val="001C1514"/>
    <w:rsid w:val="0023007C"/>
    <w:rsid w:val="00660DC3"/>
    <w:rsid w:val="006C00C1"/>
    <w:rsid w:val="00727E02"/>
    <w:rsid w:val="00780C89"/>
    <w:rsid w:val="00A973D9"/>
    <w:rsid w:val="00AF0731"/>
    <w:rsid w:val="00B07EA4"/>
    <w:rsid w:val="00C36EB3"/>
    <w:rsid w:val="00C70581"/>
    <w:rsid w:val="00CB159A"/>
    <w:rsid w:val="00CB7934"/>
    <w:rsid w:val="00D97DF6"/>
    <w:rsid w:val="00DC63CA"/>
    <w:rsid w:val="00DD1C2B"/>
    <w:rsid w:val="00DD5630"/>
    <w:rsid w:val="00E35EEE"/>
    <w:rsid w:val="00E37973"/>
    <w:rsid w:val="00F104EA"/>
    <w:rsid w:val="00F3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763BE"/>
  <w15:chartTrackingRefBased/>
  <w15:docId w15:val="{286F6668-6374-42F2-A859-7DCA93C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63CA"/>
    <w:pPr>
      <w:ind w:left="720"/>
      <w:contextualSpacing/>
    </w:pPr>
  </w:style>
  <w:style w:type="table" w:styleId="a4">
    <w:name w:val="Table Grid"/>
    <w:basedOn w:val="a1"/>
    <w:uiPriority w:val="39"/>
    <w:rsid w:val="00F34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15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1427</Words>
  <Characters>8136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2024-03-01T11:26:00Z</cp:lastPrinted>
  <dcterms:created xsi:type="dcterms:W3CDTF">2024-02-29T10:57:00Z</dcterms:created>
  <dcterms:modified xsi:type="dcterms:W3CDTF">2024-03-01T11:27:00Z</dcterms:modified>
</cp:coreProperties>
</file>